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39322C91" w:rsidR="002B0892" w:rsidRPr="00E96EE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DA45AF" w:rsidRPr="005873D4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Економија</w:t>
            </w:r>
            <w:r w:rsidR="00E96EE9" w:rsidRPr="005873D4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  <w:r w:rsidR="00E96EE9" w:rsidRPr="005873D4">
              <w:rPr>
                <w:rFonts w:ascii="Times New Roman" w:hAnsi="Times New Roman"/>
                <w:b/>
                <w:sz w:val="20"/>
                <w:szCs w:val="20"/>
              </w:rPr>
              <w:t>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6A4DD413" w:rsidR="002B0892" w:rsidRPr="00DA45A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DA45AF" w:rsidRPr="00B60F44">
              <w:rPr>
                <w:rFonts w:ascii="Times New Roman" w:hAnsi="Times New Roman"/>
                <w:b/>
                <w:bCs/>
                <w:sz w:val="20"/>
                <w:szCs w:val="20"/>
              </w:rPr>
              <w:t>Анализа пословних одлука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30F4EB89" w:rsidR="002B0892" w:rsidRPr="00DA45AF" w:rsidRDefault="002B0892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1635E" w:rsidRPr="00D1635E">
              <w:rPr>
                <w:rFonts w:ascii="Times New Roman" w:hAnsi="Times New Roman"/>
                <w:bCs/>
                <w:sz w:val="20"/>
                <w:szCs w:val="20"/>
              </w:rPr>
              <w:t>др</w:t>
            </w:r>
            <w:r w:rsidR="00D1635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A45AF">
              <w:rPr>
                <w:rFonts w:ascii="Times New Roman" w:hAnsi="Times New Roman"/>
                <w:bCs/>
                <w:sz w:val="20"/>
                <w:szCs w:val="20"/>
              </w:rPr>
              <w:t>Јелена Ј. Станковић</w:t>
            </w:r>
            <w:r w:rsidR="00B60F44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B60F44" w:rsidRPr="00D1635E">
              <w:rPr>
                <w:rFonts w:ascii="Times New Roman" w:hAnsi="Times New Roman"/>
                <w:bCs/>
                <w:sz w:val="20"/>
                <w:szCs w:val="20"/>
              </w:rPr>
              <w:t xml:space="preserve"> др</w:t>
            </w:r>
            <w:r w:rsidR="00B60F4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B60F44" w:rsidRPr="00DA45AF">
              <w:rPr>
                <w:rFonts w:ascii="Times New Roman" w:hAnsi="Times New Roman"/>
                <w:bCs/>
                <w:sz w:val="20"/>
                <w:szCs w:val="20"/>
              </w:rPr>
              <w:t>Жарко Поповић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3148D9EF" w:rsidR="002B0892" w:rsidRPr="005873D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5873D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5873D4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3FAA240C" w:rsidR="002B0892" w:rsidRPr="00CF482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CF482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3D76F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70CB1AC3" w14:textId="72C7001C" w:rsidR="00DA45AF" w:rsidRPr="00DA45AF" w:rsidRDefault="00DA45AF" w:rsidP="00DA45A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Анализа</w:t>
            </w: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 xml:space="preserve"> пословних одлука је предмет усмерен ка примени квантитативних и аналитичких приступа у решавању реалних пословних проблема. Образовни циљ предмета је да студентима омогући:</w:t>
            </w:r>
          </w:p>
          <w:p w14:paraId="3ACE8FC5" w14:textId="77777777" w:rsidR="00DA45AF" w:rsidRPr="00DA45AF" w:rsidRDefault="00DA45AF" w:rsidP="00DA45A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– разумевање процеса пословног одлучивања у условима извесности, ризика и неизвесности;</w:t>
            </w:r>
          </w:p>
          <w:p w14:paraId="216E45D2" w14:textId="77777777" w:rsidR="00DA45AF" w:rsidRPr="00DA45AF" w:rsidRDefault="00DA45AF" w:rsidP="00DA45A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– овладавање методама структурирања, моделовања и анализе пословних проблема одлучивања;</w:t>
            </w:r>
          </w:p>
          <w:p w14:paraId="1E79472F" w14:textId="77777777" w:rsidR="00DA45AF" w:rsidRPr="00DA45AF" w:rsidRDefault="00DA45AF" w:rsidP="00DA45A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– примену вишекритеријумских метода одлучивања (MCDM) у контексту реалних пословних случајева;</w:t>
            </w:r>
          </w:p>
          <w:p w14:paraId="2DAC8AE6" w14:textId="77777777" w:rsidR="00DA45AF" w:rsidRPr="00DA45AF" w:rsidRDefault="00DA45AF" w:rsidP="00DA45A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– коришћење савремених аналитичких алата и софтвера у подршци одлучивању;</w:t>
            </w:r>
          </w:p>
          <w:p w14:paraId="16F6AE91" w14:textId="1DBB99C9" w:rsidR="00B65F83" w:rsidRPr="00DA45AF" w:rsidRDefault="00DA45AF" w:rsidP="00DA45A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– развијање способности критичке интерпретације резултата анализе и формулисања аргументованих пословних препорука.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1E58BFE1" w14:textId="77777777" w:rsidR="00DA45AF" w:rsidRPr="00DA45AF" w:rsidRDefault="00DA45AF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По завршетку предмета, студент ће бити оспособљен да:</w:t>
            </w:r>
          </w:p>
          <w:p w14:paraId="4DC5E045" w14:textId="77777777" w:rsidR="00DA45AF" w:rsidRPr="00DA45AF" w:rsidRDefault="00DA45AF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(И1) идентификује и структурише пословни проблем одлучивања дефинисањем циљева, критеријума, алтернатива и ограничења;</w:t>
            </w:r>
          </w:p>
          <w:p w14:paraId="3B39A67C" w14:textId="77777777" w:rsidR="00DA45AF" w:rsidRPr="00DA45AF" w:rsidRDefault="00DA45AF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(И2) класификује проблеме одлучивања и изабере одговарајући аналитички оквир и методу;</w:t>
            </w:r>
          </w:p>
          <w:p w14:paraId="2DB4C0B5" w14:textId="77777777" w:rsidR="00DA45AF" w:rsidRPr="00DA45AF" w:rsidRDefault="00DA45AF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(И3) формира математички модел одлучивања и примени одговарајуће квантитативне методе за његово решавање;</w:t>
            </w:r>
          </w:p>
          <w:p w14:paraId="0A51BB8B" w14:textId="5388664B" w:rsidR="00DA45AF" w:rsidRPr="00DA45AF" w:rsidRDefault="00DA45AF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 xml:space="preserve">(И4) </w:t>
            </w:r>
            <w:r w:rsidR="00654D52">
              <w:rPr>
                <w:rFonts w:ascii="Times New Roman" w:hAnsi="Times New Roman"/>
                <w:bCs/>
                <w:sz w:val="20"/>
                <w:szCs w:val="20"/>
              </w:rPr>
              <w:t xml:space="preserve">примени </w:t>
            </w:r>
            <w:r w:rsidR="005666DB">
              <w:rPr>
                <w:rFonts w:ascii="Times New Roman" w:hAnsi="Times New Roman"/>
                <w:bCs/>
                <w:sz w:val="20"/>
                <w:szCs w:val="20"/>
              </w:rPr>
              <w:t xml:space="preserve">напредне </w:t>
            </w:r>
            <w:r w:rsidR="00654D52">
              <w:rPr>
                <w:rFonts w:ascii="Times New Roman" w:hAnsi="Times New Roman"/>
                <w:bCs/>
                <w:sz w:val="20"/>
                <w:szCs w:val="20"/>
              </w:rPr>
              <w:t>метод</w:t>
            </w:r>
            <w:r w:rsidR="005666DB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 xml:space="preserve"> вишекритеријумског одлучивања у анализи пословних случајева;</w:t>
            </w:r>
          </w:p>
          <w:p w14:paraId="7C948A86" w14:textId="77777777" w:rsidR="00DA45AF" w:rsidRPr="00DA45AF" w:rsidRDefault="00DA45AF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(И5) спроведе анализу осетљивости и сценарија и процени стабилност донете одлуке;</w:t>
            </w:r>
          </w:p>
          <w:p w14:paraId="69933E5F" w14:textId="77777777" w:rsidR="00DA45AF" w:rsidRPr="00DA45AF" w:rsidRDefault="00DA45AF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(И6) примени приступе одлучивања у условима ризика и неизвесности, укључујући fuzzy и вероватносне моделе;</w:t>
            </w:r>
          </w:p>
          <w:p w14:paraId="50CCC0EA" w14:textId="77777777" w:rsidR="00DA45AF" w:rsidRPr="00DA45AF" w:rsidRDefault="00DA45AF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(И7) примени приступе групног одлучивања и агрегације преференција у тимском контексту;</w:t>
            </w:r>
          </w:p>
          <w:p w14:paraId="5A11BB41" w14:textId="77777777" w:rsidR="00DA45AF" w:rsidRPr="00DA45AF" w:rsidRDefault="00DA45AF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(И8) користи Excel/Excel Solver, Super Decisions, Visual PROMETHEE и друге аналитичке алате у моделирању и анализи одлука;</w:t>
            </w:r>
          </w:p>
          <w:p w14:paraId="75499C2E" w14:textId="77777777" w:rsidR="00DA45AF" w:rsidRPr="00DA45AF" w:rsidRDefault="00DA45AF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(И9) критички интерпретира добијене резултате и формулише аргументовану пословну препоруку;</w:t>
            </w:r>
          </w:p>
          <w:p w14:paraId="5F9AB643" w14:textId="1A4BFAF5" w:rsidR="00B65F83" w:rsidRPr="00DA45AF" w:rsidRDefault="00DA45AF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(И10) припреми менаџерски извештај и презентацију са јасно исказаним претпоставкама, ограничењима и закључцима.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C2A31E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665FD6A5" w14:textId="77777777" w:rsidR="005666DB" w:rsidRPr="005666DB" w:rsidRDefault="005666DB" w:rsidP="005666D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5666DB">
              <w:rPr>
                <w:rFonts w:ascii="Times New Roman" w:hAnsi="Times New Roman"/>
                <w:iCs/>
                <w:noProof/>
                <w:sz w:val="20"/>
                <w:szCs w:val="20"/>
              </w:rPr>
              <w:t>– Напредно моделовање проблема одлучивања: интердепендентни критеријуми, нелинеарне преференције и динамичке матрице одлучивања.</w:t>
            </w:r>
          </w:p>
          <w:p w14:paraId="05BA71DB" w14:textId="77777777" w:rsidR="005666DB" w:rsidRPr="005666DB" w:rsidRDefault="005666DB" w:rsidP="005666D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5666DB">
              <w:rPr>
                <w:rFonts w:ascii="Times New Roman" w:hAnsi="Times New Roman"/>
                <w:iCs/>
                <w:noProof/>
                <w:sz w:val="20"/>
                <w:szCs w:val="20"/>
              </w:rPr>
              <w:t>– Теорија корисности и prospect теорија: моделовање преференција у условима ризика и неизвесности.</w:t>
            </w:r>
          </w:p>
          <w:p w14:paraId="5CAE7FFA" w14:textId="2FB1E4E5" w:rsidR="005666DB" w:rsidRPr="005666DB" w:rsidRDefault="005666DB" w:rsidP="005666D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5666DB">
              <w:rPr>
                <w:rFonts w:ascii="Times New Roman" w:hAnsi="Times New Roman"/>
                <w:iCs/>
                <w:noProof/>
                <w:sz w:val="20"/>
                <w:szCs w:val="20"/>
              </w:rPr>
              <w:t>– Fuzzy скупо</w:t>
            </w:r>
            <w:r>
              <w:rPr>
                <w:rFonts w:ascii="Times New Roman" w:hAnsi="Times New Roman"/>
                <w:iCs/>
                <w:noProof/>
                <w:sz w:val="20"/>
                <w:szCs w:val="20"/>
              </w:rPr>
              <w:t>ви и fuzzy логика у одлучивању</w:t>
            </w:r>
          </w:p>
          <w:p w14:paraId="2AB1BC17" w14:textId="378EDFBA" w:rsidR="00DA45AF" w:rsidRPr="005666DB" w:rsidRDefault="005666DB" w:rsidP="005666D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5666DB">
              <w:rPr>
                <w:rFonts w:ascii="Times New Roman" w:hAnsi="Times New Roman"/>
                <w:iCs/>
                <w:noProof/>
                <w:sz w:val="20"/>
                <w:szCs w:val="20"/>
              </w:rPr>
              <w:t>– Напредне методе одре</w:t>
            </w:r>
            <w:r>
              <w:rPr>
                <w:rFonts w:ascii="Times New Roman" w:hAnsi="Times New Roman"/>
                <w:iCs/>
                <w:noProof/>
                <w:sz w:val="20"/>
                <w:szCs w:val="20"/>
              </w:rPr>
              <w:t>ђивања тежинских коефицијената</w:t>
            </w:r>
          </w:p>
          <w:p w14:paraId="5CAEE730" w14:textId="070C474B" w:rsidR="00DA45AF" w:rsidRPr="00CF4826" w:rsidRDefault="00DA45AF" w:rsidP="00DA45A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CF4826">
              <w:rPr>
                <w:rFonts w:ascii="Times New Roman" w:hAnsi="Times New Roman"/>
                <w:iCs/>
                <w:noProof/>
                <w:sz w:val="20"/>
                <w:szCs w:val="20"/>
              </w:rPr>
              <w:t>– Теорија корисности и преференцијски модели.</w:t>
            </w:r>
          </w:p>
          <w:p w14:paraId="7A904C40" w14:textId="03AAFCB1" w:rsidR="00DA45AF" w:rsidRPr="00CF4826" w:rsidRDefault="003D2508" w:rsidP="00654D5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CF4826">
              <w:rPr>
                <w:rFonts w:ascii="Times New Roman" w:hAnsi="Times New Roman"/>
                <w:iCs/>
                <w:noProof/>
                <w:sz w:val="20"/>
                <w:szCs w:val="20"/>
              </w:rPr>
              <w:t xml:space="preserve">– </w:t>
            </w:r>
            <w:r w:rsidR="005666DB">
              <w:rPr>
                <w:rFonts w:ascii="Times New Roman" w:hAnsi="Times New Roman"/>
                <w:iCs/>
                <w:noProof/>
                <w:sz w:val="20"/>
                <w:szCs w:val="20"/>
              </w:rPr>
              <w:t>Напредне м</w:t>
            </w:r>
            <w:r w:rsidR="00654D52">
              <w:rPr>
                <w:rFonts w:ascii="Times New Roman" w:hAnsi="Times New Roman"/>
                <w:iCs/>
                <w:noProof/>
                <w:sz w:val="20"/>
                <w:szCs w:val="20"/>
              </w:rPr>
              <w:t>етоде вишекритеријумског одлучивања</w:t>
            </w:r>
          </w:p>
          <w:p w14:paraId="0CCA3208" w14:textId="7AFA902B" w:rsidR="00DA45AF" w:rsidRPr="00CF4826" w:rsidRDefault="00DA45AF" w:rsidP="00DA45A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CF4826">
              <w:rPr>
                <w:rFonts w:ascii="Times New Roman" w:hAnsi="Times New Roman"/>
                <w:iCs/>
                <w:noProof/>
                <w:sz w:val="20"/>
                <w:szCs w:val="20"/>
              </w:rPr>
              <w:t xml:space="preserve">– </w:t>
            </w:r>
            <w:r w:rsidR="005666DB">
              <w:rPr>
                <w:rFonts w:ascii="Times New Roman" w:hAnsi="Times New Roman"/>
                <w:iCs/>
                <w:noProof/>
                <w:sz w:val="20"/>
                <w:szCs w:val="20"/>
              </w:rPr>
              <w:t>Консензусни модели</w:t>
            </w:r>
          </w:p>
          <w:p w14:paraId="34A22EE4" w14:textId="01C5B585" w:rsidR="005666DB" w:rsidRPr="005666DB" w:rsidRDefault="005666DB" w:rsidP="005666D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noProof/>
                <w:sz w:val="20"/>
                <w:szCs w:val="20"/>
              </w:rPr>
              <w:t xml:space="preserve">– </w:t>
            </w:r>
            <w:r w:rsidRPr="005666DB">
              <w:rPr>
                <w:rFonts w:ascii="Times New Roman" w:hAnsi="Times New Roman"/>
                <w:iCs/>
                <w:noProof/>
                <w:sz w:val="20"/>
                <w:szCs w:val="20"/>
              </w:rPr>
              <w:t xml:space="preserve">Анализа осетљивости, робусности и конзистентности: напредне технике </w:t>
            </w:r>
            <w:r>
              <w:rPr>
                <w:rFonts w:ascii="Times New Roman" w:hAnsi="Times New Roman"/>
                <w:iCs/>
                <w:noProof/>
                <w:sz w:val="20"/>
                <w:szCs w:val="20"/>
              </w:rPr>
              <w:t>верификације стабилности одлуке</w:t>
            </w:r>
          </w:p>
          <w:p w14:paraId="2844E904" w14:textId="02609524" w:rsidR="00DA45AF" w:rsidRPr="00CF4826" w:rsidRDefault="005666DB" w:rsidP="00DA45A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5666DB">
              <w:rPr>
                <w:rFonts w:ascii="Times New Roman" w:hAnsi="Times New Roman"/>
                <w:iCs/>
                <w:noProof/>
                <w:sz w:val="20"/>
                <w:szCs w:val="20"/>
              </w:rPr>
              <w:t xml:space="preserve">– Хибридни MCDM модели: интеграција метода пондерисања и рангирања </w:t>
            </w:r>
            <w:r>
              <w:rPr>
                <w:rFonts w:ascii="Times New Roman" w:hAnsi="Times New Roman"/>
                <w:iCs/>
                <w:noProof/>
                <w:sz w:val="20"/>
                <w:szCs w:val="20"/>
              </w:rPr>
              <w:t>у јединствени аналитички оквир.</w:t>
            </w:r>
          </w:p>
          <w:p w14:paraId="7A08249E" w14:textId="77777777" w:rsidR="002B0892" w:rsidRPr="0045100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451008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 xml:space="preserve">Практична настава </w:t>
            </w:r>
          </w:p>
          <w:p w14:paraId="0E7D20D7" w14:textId="7B4CFB0C" w:rsidR="005666DB" w:rsidRPr="005666DB" w:rsidRDefault="005666DB" w:rsidP="005666DB">
            <w:pPr>
              <w:rPr>
                <w:rFonts w:ascii="Times New Roman" w:eastAsia="Arial" w:hAnsi="Times New Roman"/>
                <w:iCs/>
                <w:sz w:val="20"/>
                <w:szCs w:val="20"/>
              </w:rPr>
            </w:pPr>
            <w:r w:rsidRPr="005666DB">
              <w:rPr>
                <w:rFonts w:ascii="Times New Roman" w:eastAsia="Arial" w:hAnsi="Times New Roman"/>
                <w:iCs/>
                <w:sz w:val="20"/>
                <w:szCs w:val="20"/>
              </w:rPr>
              <w:t>– Примена метода за одређивање тежина критеријума на пословним примерима.</w:t>
            </w:r>
          </w:p>
          <w:p w14:paraId="71618AD4" w14:textId="77777777" w:rsidR="005666DB" w:rsidRPr="005666DB" w:rsidRDefault="005666DB" w:rsidP="005666DB">
            <w:pPr>
              <w:rPr>
                <w:rFonts w:ascii="Times New Roman" w:eastAsia="Arial" w:hAnsi="Times New Roman"/>
                <w:iCs/>
                <w:sz w:val="20"/>
                <w:szCs w:val="20"/>
              </w:rPr>
            </w:pPr>
            <w:r w:rsidRPr="005666DB">
              <w:rPr>
                <w:rFonts w:ascii="Times New Roman" w:eastAsia="Arial" w:hAnsi="Times New Roman"/>
                <w:iCs/>
                <w:sz w:val="20"/>
                <w:szCs w:val="20"/>
              </w:rPr>
              <w:t>– Примена fuzzy AHP и fuzzy TOPSIS у моделирању неизвесности: нумерички примери и верификација резултата.</w:t>
            </w:r>
          </w:p>
          <w:p w14:paraId="4617E618" w14:textId="77777777" w:rsidR="005666DB" w:rsidRPr="005666DB" w:rsidRDefault="005666DB" w:rsidP="005666DB">
            <w:pPr>
              <w:rPr>
                <w:rFonts w:ascii="Times New Roman" w:eastAsia="Arial" w:hAnsi="Times New Roman"/>
                <w:iCs/>
                <w:sz w:val="20"/>
                <w:szCs w:val="20"/>
              </w:rPr>
            </w:pPr>
            <w:r w:rsidRPr="005666DB">
              <w:rPr>
                <w:rFonts w:ascii="Times New Roman" w:eastAsia="Arial" w:hAnsi="Times New Roman"/>
                <w:iCs/>
                <w:sz w:val="20"/>
                <w:szCs w:val="20"/>
              </w:rPr>
              <w:t>– Примена ANP методе у Super Decisions-у: моделовање зависности међу критеријумима и синтеза приоритета.</w:t>
            </w:r>
          </w:p>
          <w:p w14:paraId="1DE302F5" w14:textId="3E69B234" w:rsidR="005666DB" w:rsidRPr="005666DB" w:rsidRDefault="005666DB" w:rsidP="005666DB">
            <w:pPr>
              <w:rPr>
                <w:rFonts w:ascii="Times New Roman" w:eastAsia="Arial" w:hAnsi="Times New Roman"/>
                <w:iCs/>
                <w:sz w:val="20"/>
                <w:szCs w:val="20"/>
              </w:rPr>
            </w:pPr>
            <w:r w:rsidRPr="005666DB">
              <w:rPr>
                <w:rFonts w:ascii="Times New Roman" w:eastAsia="Arial" w:hAnsi="Times New Roman"/>
                <w:iCs/>
                <w:sz w:val="20"/>
                <w:szCs w:val="20"/>
              </w:rPr>
              <w:t xml:space="preserve">– Примена напредних MCDM </w:t>
            </w:r>
            <w:r>
              <w:rPr>
                <w:rFonts w:ascii="Times New Roman" w:eastAsia="Arial" w:hAnsi="Times New Roman"/>
                <w:iCs/>
                <w:sz w:val="20"/>
                <w:szCs w:val="20"/>
              </w:rPr>
              <w:t>метода</w:t>
            </w:r>
            <w:r w:rsidRPr="005666DB">
              <w:rPr>
                <w:rFonts w:ascii="Times New Roman" w:eastAsia="Arial" w:hAnsi="Times New Roman"/>
                <w:iCs/>
                <w:sz w:val="20"/>
                <w:szCs w:val="20"/>
              </w:rPr>
              <w:t>: нумеричке вежбе, поређење резултата рангирања и интерпретација.</w:t>
            </w:r>
          </w:p>
          <w:p w14:paraId="28F53B7C" w14:textId="77777777" w:rsidR="005666DB" w:rsidRPr="005666DB" w:rsidRDefault="005666DB" w:rsidP="005666DB">
            <w:pPr>
              <w:rPr>
                <w:rFonts w:ascii="Times New Roman" w:eastAsia="Arial" w:hAnsi="Times New Roman"/>
                <w:iCs/>
                <w:sz w:val="20"/>
                <w:szCs w:val="20"/>
              </w:rPr>
            </w:pPr>
            <w:r w:rsidRPr="005666DB">
              <w:rPr>
                <w:rFonts w:ascii="Times New Roman" w:eastAsia="Arial" w:hAnsi="Times New Roman"/>
                <w:iCs/>
                <w:sz w:val="20"/>
                <w:szCs w:val="20"/>
              </w:rPr>
              <w:t>– Израда хибридног MCDM модела: комбиновање методе пондерисања и рангирања у решавању реалног пословног случаја.</w:t>
            </w:r>
          </w:p>
          <w:p w14:paraId="62F7CCA7" w14:textId="77777777" w:rsidR="005666DB" w:rsidRPr="005666DB" w:rsidRDefault="005666DB" w:rsidP="005666DB">
            <w:pPr>
              <w:rPr>
                <w:rFonts w:ascii="Times New Roman" w:eastAsia="Arial" w:hAnsi="Times New Roman"/>
                <w:iCs/>
                <w:sz w:val="20"/>
                <w:szCs w:val="20"/>
              </w:rPr>
            </w:pPr>
            <w:r w:rsidRPr="005666DB">
              <w:rPr>
                <w:rFonts w:ascii="Times New Roman" w:eastAsia="Arial" w:hAnsi="Times New Roman"/>
                <w:iCs/>
                <w:sz w:val="20"/>
                <w:szCs w:val="20"/>
              </w:rPr>
              <w:t>– Напредна примена PROMETHEE у Visual PROMETHEE-у: анализа робусности, GAIA раван и интерпретација резултата групног одлучивања.</w:t>
            </w:r>
          </w:p>
          <w:p w14:paraId="5772FCE1" w14:textId="77777777" w:rsidR="005666DB" w:rsidRPr="005666DB" w:rsidRDefault="005666DB" w:rsidP="005666DB">
            <w:pPr>
              <w:rPr>
                <w:rFonts w:ascii="Times New Roman" w:eastAsia="Arial" w:hAnsi="Times New Roman"/>
                <w:iCs/>
                <w:sz w:val="20"/>
                <w:szCs w:val="20"/>
              </w:rPr>
            </w:pPr>
            <w:r w:rsidRPr="005666DB">
              <w:rPr>
                <w:rFonts w:ascii="Times New Roman" w:eastAsia="Arial" w:hAnsi="Times New Roman"/>
                <w:iCs/>
                <w:sz w:val="20"/>
                <w:szCs w:val="20"/>
              </w:rPr>
              <w:t>– Напредна анализа осетљивости и верификација стабилности рангирања: Monte Carlo симулација и сценарио анализа.</w:t>
            </w:r>
          </w:p>
          <w:p w14:paraId="715C3840" w14:textId="40560C95" w:rsidR="005666DB" w:rsidRPr="005666DB" w:rsidRDefault="005666DB" w:rsidP="005666DB">
            <w:pPr>
              <w:rPr>
                <w:rFonts w:ascii="Times New Roman" w:eastAsia="Arial" w:hAnsi="Times New Roman"/>
                <w:iCs/>
                <w:sz w:val="20"/>
                <w:szCs w:val="20"/>
              </w:rPr>
            </w:pPr>
            <w:r w:rsidRPr="005666DB">
              <w:rPr>
                <w:rFonts w:ascii="Times New Roman" w:eastAsia="Arial" w:hAnsi="Times New Roman"/>
                <w:iCs/>
                <w:sz w:val="20"/>
                <w:szCs w:val="20"/>
              </w:rPr>
              <w:lastRenderedPageBreak/>
              <w:t xml:space="preserve">– </w:t>
            </w:r>
            <w:r w:rsidR="008C7293">
              <w:rPr>
                <w:rFonts w:ascii="Times New Roman" w:eastAsia="Arial" w:hAnsi="Times New Roman"/>
                <w:iCs/>
                <w:sz w:val="20"/>
                <w:szCs w:val="20"/>
              </w:rPr>
              <w:t>В</w:t>
            </w:r>
            <w:r w:rsidRPr="005666DB">
              <w:rPr>
                <w:rFonts w:ascii="Times New Roman" w:eastAsia="Arial" w:hAnsi="Times New Roman"/>
                <w:iCs/>
                <w:sz w:val="20"/>
                <w:szCs w:val="20"/>
              </w:rPr>
              <w:t>изуализација ре</w:t>
            </w:r>
            <w:r w:rsidR="008C7293">
              <w:rPr>
                <w:rFonts w:ascii="Times New Roman" w:eastAsia="Arial" w:hAnsi="Times New Roman"/>
                <w:iCs/>
                <w:sz w:val="20"/>
                <w:szCs w:val="20"/>
              </w:rPr>
              <w:t>зултата и документовање анализе</w:t>
            </w:r>
          </w:p>
          <w:p w14:paraId="51EFE29B" w14:textId="1350CAD2" w:rsidR="007C6F8F" w:rsidRPr="00E96EE9" w:rsidRDefault="005666DB" w:rsidP="00E96EE9">
            <w:pPr>
              <w:rPr>
                <w:rFonts w:ascii="Times New Roman" w:eastAsia="Arial" w:hAnsi="Times New Roman"/>
                <w:iCs/>
                <w:sz w:val="20"/>
                <w:szCs w:val="20"/>
              </w:rPr>
            </w:pPr>
            <w:r w:rsidRPr="005666DB">
              <w:rPr>
                <w:rFonts w:ascii="Times New Roman" w:eastAsia="Arial" w:hAnsi="Times New Roman"/>
                <w:iCs/>
                <w:sz w:val="20"/>
                <w:szCs w:val="20"/>
              </w:rPr>
              <w:t>– Консензусни модели групног одлучивања: примена агрегационих оператора и мерење конзи</w:t>
            </w:r>
            <w:r w:rsidR="008C7293">
              <w:rPr>
                <w:rFonts w:ascii="Times New Roman" w:eastAsia="Arial" w:hAnsi="Times New Roman"/>
                <w:iCs/>
                <w:sz w:val="20"/>
                <w:szCs w:val="20"/>
              </w:rPr>
              <w:t>стентности групних преференција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4CE71E3C" w14:textId="77777777" w:rsidR="00B65F83" w:rsidRPr="00D1635E" w:rsidRDefault="003D2508" w:rsidP="00B60F4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1635E">
              <w:rPr>
                <w:rFonts w:ascii="Times New Roman" w:hAnsi="Times New Roman"/>
                <w:bCs/>
                <w:sz w:val="20"/>
                <w:szCs w:val="20"/>
              </w:rPr>
              <w:t>Сукновић, М., Делибашић, Б., Јовановић, М., Вукићевић, М., Радовановић, С</w:t>
            </w:r>
            <w:r w:rsidR="00DA45AF" w:rsidRPr="00D1635E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r w:rsidR="00DA45AF" w:rsidRPr="00D1635E">
              <w:rPr>
                <w:rFonts w:ascii="Times New Roman" w:hAnsi="Times New Roman"/>
                <w:bCs/>
                <w:i/>
                <w:sz w:val="20"/>
                <w:szCs w:val="20"/>
              </w:rPr>
              <w:t>Одлучивање</w:t>
            </w:r>
            <w:r w:rsidRPr="00D1635E">
              <w:rPr>
                <w:rFonts w:ascii="Times New Roman" w:hAnsi="Times New Roman"/>
                <w:bCs/>
                <w:sz w:val="20"/>
                <w:szCs w:val="20"/>
              </w:rPr>
              <w:t>. Београд: ФОН, 202</w:t>
            </w:r>
            <w:r w:rsidR="00DA45AF" w:rsidRPr="00D1635E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  <w:p w14:paraId="2B320491" w14:textId="08202556" w:rsidR="00CF4826" w:rsidRPr="00D1635E" w:rsidRDefault="00CF4826" w:rsidP="00B60F4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1635E">
              <w:rPr>
                <w:rFonts w:ascii="Times New Roman" w:hAnsi="Times New Roman"/>
                <w:bCs/>
                <w:sz w:val="20"/>
                <w:szCs w:val="20"/>
              </w:rPr>
              <w:t xml:space="preserve">Павличић, Д. </w:t>
            </w:r>
            <w:r w:rsidRPr="00D1635E">
              <w:rPr>
                <w:rFonts w:ascii="Times New Roman" w:hAnsi="Times New Roman"/>
                <w:bCs/>
                <w:i/>
                <w:sz w:val="20"/>
                <w:szCs w:val="20"/>
              </w:rPr>
              <w:t>Теорија одлучивања</w:t>
            </w:r>
            <w:r w:rsidRPr="00D1635E">
              <w:rPr>
                <w:rFonts w:ascii="Times New Roman" w:hAnsi="Times New Roman"/>
                <w:bCs/>
                <w:sz w:val="20"/>
                <w:szCs w:val="20"/>
              </w:rPr>
              <w:t>. Београд: Економски факултет, 2016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11DCE375" w:rsidR="002B0892" w:rsidRPr="00092214" w:rsidRDefault="002B0892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5873D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692316C9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5873D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6013983A" w14:textId="77777777" w:rsidR="00DA45AF" w:rsidRPr="00DA45AF" w:rsidRDefault="00DA45AF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(М1) Предавања</w:t>
            </w:r>
            <w:r w:rsidRPr="00DA45AF">
              <w:rPr>
                <w:rFonts w:ascii="Times New Roman" w:hAnsi="Times New Roman"/>
                <w:sz w:val="20"/>
                <w:szCs w:val="20"/>
              </w:rPr>
              <w:t xml:space="preserve"> – систематско излагање теоријских концепата, метода и модела аналитике одлучивања;</w:t>
            </w:r>
          </w:p>
          <w:p w14:paraId="6AC3E12E" w14:textId="77777777" w:rsidR="00DA45AF" w:rsidRPr="00DA45AF" w:rsidRDefault="00DA45AF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(М2) Интерактивна настава и дискусија</w:t>
            </w:r>
            <w:r w:rsidRPr="00DA45AF">
              <w:rPr>
                <w:rFonts w:ascii="Times New Roman" w:hAnsi="Times New Roman"/>
                <w:sz w:val="20"/>
                <w:szCs w:val="20"/>
              </w:rPr>
              <w:t xml:space="preserve"> – критичка анализа пословних проблема одлучивања, критеријума и алтернатива;</w:t>
            </w:r>
          </w:p>
          <w:p w14:paraId="77A28211" w14:textId="77777777" w:rsidR="00DA45AF" w:rsidRPr="00DA45AF" w:rsidRDefault="00DA45AF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(М3) Аудиторне и рачунске вежбе</w:t>
            </w:r>
            <w:r w:rsidRPr="00DA45AF">
              <w:rPr>
                <w:rFonts w:ascii="Times New Roman" w:hAnsi="Times New Roman"/>
                <w:sz w:val="20"/>
                <w:szCs w:val="20"/>
              </w:rPr>
              <w:t xml:space="preserve"> – решавање нумеричких задатака и примена метода на конкретне примере;</w:t>
            </w:r>
          </w:p>
          <w:p w14:paraId="3064B6A5" w14:textId="77777777" w:rsidR="00DA45AF" w:rsidRPr="00DA45AF" w:rsidRDefault="00DA45AF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(М4) Софтверске вежбе</w:t>
            </w:r>
            <w:r w:rsidRPr="00DA45AF">
              <w:rPr>
                <w:rFonts w:ascii="Times New Roman" w:hAnsi="Times New Roman"/>
                <w:sz w:val="20"/>
                <w:szCs w:val="20"/>
              </w:rPr>
              <w:t xml:space="preserve"> – примена Excel-а, Excel Solver-а, Super Decisions и Visual PROMETHEE-а у моделирању одлука;</w:t>
            </w:r>
          </w:p>
          <w:p w14:paraId="22BFA425" w14:textId="77777777" w:rsidR="00DA45AF" w:rsidRPr="00DA45AF" w:rsidRDefault="00DA45AF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(М5) Студије случаја</w:t>
            </w:r>
            <w:r w:rsidRPr="00DA45AF">
              <w:rPr>
                <w:rFonts w:ascii="Times New Roman" w:hAnsi="Times New Roman"/>
                <w:sz w:val="20"/>
                <w:szCs w:val="20"/>
              </w:rPr>
              <w:t xml:space="preserve"> – анализа реалних пословних проблема и избор одговарајућег аналитичког приступа;</w:t>
            </w:r>
          </w:p>
          <w:p w14:paraId="2D08EEDE" w14:textId="77777777" w:rsidR="00DA45AF" w:rsidRPr="00DA45AF" w:rsidRDefault="00DA45AF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(М6) Самостални и тимски рад</w:t>
            </w:r>
            <w:r w:rsidRPr="00DA45AF">
              <w:rPr>
                <w:rFonts w:ascii="Times New Roman" w:hAnsi="Times New Roman"/>
                <w:sz w:val="20"/>
                <w:szCs w:val="20"/>
              </w:rPr>
              <w:t xml:space="preserve"> – израда пројектних задатака, извештаја и анализа;</w:t>
            </w:r>
          </w:p>
          <w:p w14:paraId="67401D69" w14:textId="7CDB0E8F" w:rsidR="007C6F8F" w:rsidRPr="00DA45AF" w:rsidRDefault="00DA45A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DA45AF">
              <w:rPr>
                <w:rFonts w:ascii="Times New Roman" w:hAnsi="Times New Roman"/>
                <w:bCs/>
                <w:sz w:val="20"/>
                <w:szCs w:val="20"/>
              </w:rPr>
              <w:t>(М7) Презентације и дискусија резултата</w:t>
            </w:r>
            <w:r w:rsidRPr="00DA45AF">
              <w:rPr>
                <w:rFonts w:ascii="Times New Roman" w:hAnsi="Times New Roman"/>
                <w:sz w:val="20"/>
                <w:szCs w:val="20"/>
              </w:rPr>
              <w:t xml:space="preserve"> – јавно образлагање модела, резултата и препорука.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47115458" w:rsidR="002B0892" w:rsidRPr="00B65F83" w:rsidRDefault="00DA45A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33DDCCCB" w:rsidR="002B0892" w:rsidRPr="00B65F83" w:rsidRDefault="00DA45A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30</w:t>
            </w:r>
          </w:p>
        </w:tc>
      </w:tr>
      <w:tr w:rsidR="002B0892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15DDC121" w:rsidR="002B0892" w:rsidRPr="00B65F83" w:rsidRDefault="00DA45A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2D4EA08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3C7028DD" w14:textId="1139BBEB" w:rsidR="002B0892" w:rsidRPr="00B65F83" w:rsidRDefault="00DA45A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20</w:t>
            </w:r>
          </w:p>
        </w:tc>
      </w:tr>
      <w:tr w:rsidR="002B0892" w:rsidRPr="00092214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4228E443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C66D3B9" w14:textId="74E36FC1" w:rsidR="002B0892" w:rsidRPr="00B65F83" w:rsidRDefault="00DA45A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1E6BA6"/>
    <w:multiLevelType w:val="hybridMultilevel"/>
    <w:tmpl w:val="2CA88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142BCB"/>
    <w:rsid w:val="001A2B40"/>
    <w:rsid w:val="001A3B9E"/>
    <w:rsid w:val="001C6F60"/>
    <w:rsid w:val="001D263A"/>
    <w:rsid w:val="001D493B"/>
    <w:rsid w:val="001F5A8E"/>
    <w:rsid w:val="00251DB6"/>
    <w:rsid w:val="0027519E"/>
    <w:rsid w:val="002B0892"/>
    <w:rsid w:val="0031328B"/>
    <w:rsid w:val="003157EB"/>
    <w:rsid w:val="0037636F"/>
    <w:rsid w:val="00385903"/>
    <w:rsid w:val="003D2508"/>
    <w:rsid w:val="003D76F0"/>
    <w:rsid w:val="00451008"/>
    <w:rsid w:val="004B1DDB"/>
    <w:rsid w:val="0052130F"/>
    <w:rsid w:val="005666DB"/>
    <w:rsid w:val="005873D4"/>
    <w:rsid w:val="005B012E"/>
    <w:rsid w:val="005B1103"/>
    <w:rsid w:val="005B4714"/>
    <w:rsid w:val="00606ADD"/>
    <w:rsid w:val="00654D52"/>
    <w:rsid w:val="00684003"/>
    <w:rsid w:val="006D43F1"/>
    <w:rsid w:val="00782A2E"/>
    <w:rsid w:val="00794808"/>
    <w:rsid w:val="007960B3"/>
    <w:rsid w:val="007A4520"/>
    <w:rsid w:val="007C6F8F"/>
    <w:rsid w:val="008C7293"/>
    <w:rsid w:val="008E2714"/>
    <w:rsid w:val="00941275"/>
    <w:rsid w:val="009906D5"/>
    <w:rsid w:val="009D790D"/>
    <w:rsid w:val="009E0F96"/>
    <w:rsid w:val="00A02E88"/>
    <w:rsid w:val="00A17238"/>
    <w:rsid w:val="00A2164E"/>
    <w:rsid w:val="00B42188"/>
    <w:rsid w:val="00B54F31"/>
    <w:rsid w:val="00B60F44"/>
    <w:rsid w:val="00B65F83"/>
    <w:rsid w:val="00C47D25"/>
    <w:rsid w:val="00C67922"/>
    <w:rsid w:val="00CB7005"/>
    <w:rsid w:val="00CF4826"/>
    <w:rsid w:val="00D1635E"/>
    <w:rsid w:val="00D8586A"/>
    <w:rsid w:val="00DA3210"/>
    <w:rsid w:val="00DA45AF"/>
    <w:rsid w:val="00DD7892"/>
    <w:rsid w:val="00E9282C"/>
    <w:rsid w:val="00E96EE9"/>
    <w:rsid w:val="00EA3834"/>
    <w:rsid w:val="00EB7F54"/>
    <w:rsid w:val="00ED4E06"/>
    <w:rsid w:val="00F107C0"/>
    <w:rsid w:val="00F226FC"/>
    <w:rsid w:val="00F368E2"/>
    <w:rsid w:val="00F5756D"/>
    <w:rsid w:val="00F62408"/>
    <w:rsid w:val="00F833B8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2026-05-13T13:43:00Z</dcterms:created>
  <dcterms:modified xsi:type="dcterms:W3CDTF">2026-06-05T13:09:00Z</dcterms:modified>
</cp:coreProperties>
</file>